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A39" w:rsidRPr="00185183" w:rsidRDefault="007E2A39" w:rsidP="00185183">
      <w:pPr>
        <w:pStyle w:val="Kopfzeile"/>
        <w:spacing w:before="240"/>
        <w:rPr>
          <w:b/>
          <w:noProof/>
          <w:color w:val="0070C0"/>
          <w:sz w:val="28"/>
          <w:lang w:eastAsia="de-DE"/>
        </w:rPr>
      </w:pPr>
      <w:r w:rsidRPr="00185183">
        <w:rPr>
          <w:b/>
          <w:noProof/>
          <w:color w:val="0070C0"/>
          <w:sz w:val="28"/>
          <w:lang w:eastAsia="de-DE"/>
        </w:rPr>
        <w:t xml:space="preserve">Taschengeldbörse </w:t>
      </w:r>
      <w:r w:rsidR="00977FC3" w:rsidRPr="00185183">
        <w:rPr>
          <w:b/>
          <w:noProof/>
          <w:color w:val="0070C0"/>
          <w:sz w:val="28"/>
          <w:lang w:eastAsia="de-DE"/>
        </w:rPr>
        <w:t>für Jugendliche und Senior_innen in Hamburg</w:t>
      </w:r>
    </w:p>
    <w:p w:rsidR="007E2A39" w:rsidRPr="00185183" w:rsidRDefault="00977FC3" w:rsidP="007E2A39">
      <w:pPr>
        <w:tabs>
          <w:tab w:val="left" w:pos="2310"/>
        </w:tabs>
        <w:spacing w:before="360" w:after="120"/>
        <w:rPr>
          <w:sz w:val="24"/>
          <w:szCs w:val="24"/>
        </w:rPr>
      </w:pPr>
      <w:r w:rsidRPr="00185183">
        <w:rPr>
          <w:sz w:val="24"/>
          <w:szCs w:val="24"/>
        </w:rPr>
        <w:t>Liebe Interessierte der Taschengeldbörse!</w:t>
      </w:r>
    </w:p>
    <w:p w:rsidR="007E2A39" w:rsidRPr="00185183" w:rsidRDefault="007E2A39" w:rsidP="00DB1377">
      <w:pPr>
        <w:tabs>
          <w:tab w:val="left" w:pos="2310"/>
        </w:tabs>
        <w:jc w:val="both"/>
        <w:rPr>
          <w:sz w:val="24"/>
          <w:szCs w:val="24"/>
        </w:rPr>
      </w:pPr>
      <w:r w:rsidRPr="00185183">
        <w:rPr>
          <w:sz w:val="24"/>
          <w:szCs w:val="24"/>
        </w:rPr>
        <w:t xml:space="preserve">Die Taschengeldbörse richtet sich an Jugendliche zwischen 14 und 20 Jahren (Jobber) sowie an </w:t>
      </w:r>
      <w:r w:rsidR="00977FC3" w:rsidRPr="00185183">
        <w:rPr>
          <w:sz w:val="24"/>
          <w:szCs w:val="24"/>
        </w:rPr>
        <w:t xml:space="preserve">ältere </w:t>
      </w:r>
      <w:r w:rsidRPr="00185183">
        <w:rPr>
          <w:sz w:val="24"/>
          <w:szCs w:val="24"/>
        </w:rPr>
        <w:t xml:space="preserve">Privatpersonen mit Unterstützungsbedarf. Vergeben werden können einfache, ungefährliche und unregelmäßige Arbeiten. Die tägliche Arbeitszeit soll 2 Stunden, die wöchentliche 10 Stunden nicht überschreiten. Die Arbeiten dürfen nicht vor oder während des Schulunterrichts ausgeführt werden und müssen dem körperlichen und geistig-seelischen Entwicklungsstand der Jugendlichen entsprechen. Das empfohlene Taschengeld beträgt 5 </w:t>
      </w:r>
      <w:r w:rsidR="00977FC3" w:rsidRPr="00185183">
        <w:rPr>
          <w:sz w:val="24"/>
          <w:szCs w:val="24"/>
        </w:rPr>
        <w:t xml:space="preserve">€ </w:t>
      </w:r>
      <w:r w:rsidRPr="00185183">
        <w:rPr>
          <w:sz w:val="24"/>
          <w:szCs w:val="24"/>
        </w:rPr>
        <w:t xml:space="preserve">pro Stunde. Ein anderer Satz kann individuell vereinbart werden. </w:t>
      </w:r>
    </w:p>
    <w:p w:rsidR="007E2A39" w:rsidRPr="00185183" w:rsidRDefault="007E2A39" w:rsidP="00DB1377">
      <w:pPr>
        <w:tabs>
          <w:tab w:val="left" w:pos="2310"/>
        </w:tabs>
        <w:ind w:right="-144"/>
        <w:jc w:val="both"/>
        <w:rPr>
          <w:sz w:val="24"/>
          <w:szCs w:val="24"/>
        </w:rPr>
      </w:pPr>
      <w:r w:rsidRPr="00185183">
        <w:rPr>
          <w:sz w:val="24"/>
          <w:szCs w:val="24"/>
        </w:rPr>
        <w:t xml:space="preserve">Sowohl Jugendliche als auch </w:t>
      </w:r>
      <w:proofErr w:type="spellStart"/>
      <w:r w:rsidR="00977FC3" w:rsidRPr="00185183">
        <w:rPr>
          <w:sz w:val="24"/>
          <w:szCs w:val="24"/>
        </w:rPr>
        <w:t>Senior_innen</w:t>
      </w:r>
      <w:proofErr w:type="spellEnd"/>
      <w:r w:rsidRPr="00185183">
        <w:rPr>
          <w:sz w:val="24"/>
          <w:szCs w:val="24"/>
        </w:rPr>
        <w:t xml:space="preserve"> müssen sich</w:t>
      </w:r>
      <w:r w:rsidR="00977FC3" w:rsidRPr="00185183">
        <w:rPr>
          <w:sz w:val="24"/>
          <w:szCs w:val="24"/>
        </w:rPr>
        <w:t xml:space="preserve"> für die Teilnahme</w:t>
      </w:r>
      <w:r w:rsidRPr="00185183">
        <w:rPr>
          <w:sz w:val="24"/>
          <w:szCs w:val="24"/>
        </w:rPr>
        <w:t xml:space="preserve"> bei der Taschengeldbörse anmelden</w:t>
      </w:r>
      <w:r w:rsidR="00EC43BB" w:rsidRPr="00185183">
        <w:rPr>
          <w:sz w:val="24"/>
          <w:szCs w:val="24"/>
        </w:rPr>
        <w:t xml:space="preserve"> </w:t>
      </w:r>
      <w:r w:rsidRPr="00185183">
        <w:rPr>
          <w:sz w:val="24"/>
          <w:szCs w:val="24"/>
        </w:rPr>
        <w:t xml:space="preserve">und registrieren lassen. Bei Minderjährigen müssen die Sorgeberechtigten der Teilnahme an der Taschengeldbörse schriftlich zustimmen. </w:t>
      </w:r>
    </w:p>
    <w:p w:rsidR="007E2A39" w:rsidRDefault="00977FC3" w:rsidP="00DB1377">
      <w:pPr>
        <w:tabs>
          <w:tab w:val="left" w:pos="2310"/>
        </w:tabs>
        <w:jc w:val="both"/>
        <w:rPr>
          <w:sz w:val="24"/>
          <w:szCs w:val="24"/>
        </w:rPr>
      </w:pPr>
      <w:r w:rsidRPr="00185183">
        <w:rPr>
          <w:sz w:val="24"/>
          <w:szCs w:val="24"/>
        </w:rPr>
        <w:t>Jung &amp; Alt e.V.</w:t>
      </w:r>
      <w:r w:rsidR="007E2A39" w:rsidRPr="00185183">
        <w:rPr>
          <w:sz w:val="24"/>
          <w:szCs w:val="24"/>
        </w:rPr>
        <w:t xml:space="preserve"> dient lediglich als Koordinationsstelle und übernimmt keine Haftung für die tatsächliche Verrichtung der Arbeit und deren Qualität. Die rechtliche Beziehung besteht ausschließlich zwischen </w:t>
      </w:r>
      <w:r w:rsidRPr="00185183">
        <w:rPr>
          <w:sz w:val="24"/>
          <w:szCs w:val="24"/>
        </w:rPr>
        <w:t xml:space="preserve">Jugendlichen und </w:t>
      </w:r>
      <w:proofErr w:type="spellStart"/>
      <w:r w:rsidRPr="00185183">
        <w:rPr>
          <w:sz w:val="24"/>
          <w:szCs w:val="24"/>
        </w:rPr>
        <w:t>Senior_innen</w:t>
      </w:r>
      <w:proofErr w:type="spellEnd"/>
      <w:r w:rsidR="007E2A39" w:rsidRPr="00185183">
        <w:rPr>
          <w:sz w:val="24"/>
          <w:szCs w:val="24"/>
        </w:rPr>
        <w:t xml:space="preserve">. Die Taschengeldbörse kann weder garantieren, dass es für angebotene Jobs Abnehmer gibt, noch dass jeder Jugendliche einen Job erhält. Die Taschengeldbörse kann auch nicht dafür garantieren, dass individuelle Absprachen zwischen </w:t>
      </w:r>
      <w:proofErr w:type="spellStart"/>
      <w:r w:rsidRPr="00185183">
        <w:rPr>
          <w:sz w:val="24"/>
          <w:szCs w:val="24"/>
        </w:rPr>
        <w:t>Senior_innen</w:t>
      </w:r>
      <w:proofErr w:type="spellEnd"/>
      <w:r w:rsidR="007E2A39" w:rsidRPr="00185183">
        <w:rPr>
          <w:sz w:val="24"/>
          <w:szCs w:val="24"/>
        </w:rPr>
        <w:t xml:space="preserve"> </w:t>
      </w:r>
      <w:r w:rsidRPr="00185183">
        <w:rPr>
          <w:sz w:val="24"/>
          <w:szCs w:val="24"/>
        </w:rPr>
        <w:t>und Jugendlichen</w:t>
      </w:r>
      <w:r w:rsidR="007E2A39" w:rsidRPr="00185183">
        <w:rPr>
          <w:sz w:val="24"/>
          <w:szCs w:val="24"/>
        </w:rPr>
        <w:t xml:space="preserve"> eingehalten werden oder dass Jobs zur Zufriedenheit aller erledigt werden. Schwierigkeiten dieser Art sind direkt zwischen</w:t>
      </w:r>
      <w:r w:rsidRPr="00185183">
        <w:rPr>
          <w:sz w:val="24"/>
          <w:szCs w:val="24"/>
        </w:rPr>
        <w:t xml:space="preserve"> </w:t>
      </w:r>
      <w:proofErr w:type="spellStart"/>
      <w:r w:rsidRPr="00185183">
        <w:rPr>
          <w:sz w:val="24"/>
          <w:szCs w:val="24"/>
        </w:rPr>
        <w:t>Senior_innen</w:t>
      </w:r>
      <w:proofErr w:type="spellEnd"/>
      <w:r w:rsidR="007E2A39" w:rsidRPr="00185183">
        <w:rPr>
          <w:sz w:val="24"/>
          <w:szCs w:val="24"/>
        </w:rPr>
        <w:t xml:space="preserve"> und Jugendlichem zu klären. Die Taschengeldbörse kann hier lediglich unterstützend arbeiten</w:t>
      </w:r>
      <w:r w:rsidRPr="00185183">
        <w:rPr>
          <w:sz w:val="24"/>
          <w:szCs w:val="24"/>
        </w:rPr>
        <w:t xml:space="preserve"> und Vermittlungen nach bestem Wissen und Gewissen koordinieren.</w:t>
      </w:r>
    </w:p>
    <w:p w:rsidR="00185183" w:rsidRPr="00185183" w:rsidRDefault="00185183" w:rsidP="00DB1377">
      <w:pPr>
        <w:tabs>
          <w:tab w:val="left" w:pos="2310"/>
        </w:tabs>
        <w:jc w:val="both"/>
        <w:rPr>
          <w:b/>
          <w:sz w:val="24"/>
          <w:szCs w:val="24"/>
        </w:rPr>
      </w:pPr>
      <w:r w:rsidRPr="00185183">
        <w:rPr>
          <w:sz w:val="24"/>
          <w:szCs w:val="24"/>
        </w:rPr>
        <w:t xml:space="preserve">Um einen Teil der für die Koordination erforderlichen Kosten zu decken, werden </w:t>
      </w:r>
      <w:proofErr w:type="spellStart"/>
      <w:r w:rsidRPr="00185183">
        <w:rPr>
          <w:sz w:val="24"/>
          <w:szCs w:val="24"/>
        </w:rPr>
        <w:t>Senior_innen</w:t>
      </w:r>
      <w:proofErr w:type="spellEnd"/>
      <w:r w:rsidRPr="00185183">
        <w:rPr>
          <w:sz w:val="24"/>
          <w:szCs w:val="24"/>
        </w:rPr>
        <w:t xml:space="preserve"> Fördermitglied bei Jung &amp; Alt e.V. mit einem </w:t>
      </w:r>
      <w:r w:rsidRPr="00185183">
        <w:rPr>
          <w:b/>
          <w:sz w:val="24"/>
          <w:szCs w:val="24"/>
        </w:rPr>
        <w:t xml:space="preserve">Jahresbeitrag von (mind.) 20 € </w:t>
      </w:r>
    </w:p>
    <w:p w:rsidR="00185183" w:rsidRDefault="007E2A39" w:rsidP="00DB1377">
      <w:pPr>
        <w:tabs>
          <w:tab w:val="left" w:pos="2310"/>
        </w:tabs>
        <w:jc w:val="both"/>
        <w:rPr>
          <w:sz w:val="24"/>
          <w:szCs w:val="24"/>
        </w:rPr>
      </w:pPr>
      <w:r w:rsidRPr="00185183">
        <w:rPr>
          <w:sz w:val="24"/>
          <w:szCs w:val="24"/>
        </w:rPr>
        <w:t>Um eine möglichst große Sicherheit aller zu erreichen, wird mit allen Teilne</w:t>
      </w:r>
      <w:bookmarkStart w:id="0" w:name="_GoBack"/>
      <w:bookmarkEnd w:id="0"/>
      <w:r w:rsidRPr="00185183">
        <w:rPr>
          <w:sz w:val="24"/>
          <w:szCs w:val="24"/>
        </w:rPr>
        <w:t>hmenden der Taschengeldbörse vorab ein Gespräch geführt. Sollte eine Person ungeeignet erscheinen, kann die Zulassung von der Taschengeldbörse verweigert werden. Sollte es während eines Jobs zu kriminellen Handlungen, wie z.</w:t>
      </w:r>
      <w:r w:rsidRPr="00185183">
        <w:rPr>
          <w:w w:val="50"/>
          <w:sz w:val="24"/>
          <w:szCs w:val="24"/>
        </w:rPr>
        <w:t> </w:t>
      </w:r>
      <w:r w:rsidRPr="00185183">
        <w:rPr>
          <w:sz w:val="24"/>
          <w:szCs w:val="24"/>
        </w:rPr>
        <w:t>B. Diebstahl kommen, so muss sich der Betroffene selbst direkt an die zuständige Stelle (z.</w:t>
      </w:r>
      <w:r w:rsidRPr="00185183">
        <w:rPr>
          <w:w w:val="50"/>
          <w:sz w:val="24"/>
          <w:szCs w:val="24"/>
        </w:rPr>
        <w:t> </w:t>
      </w:r>
      <w:r w:rsidRPr="00185183">
        <w:rPr>
          <w:sz w:val="24"/>
          <w:szCs w:val="24"/>
        </w:rPr>
        <w:t xml:space="preserve">B. Polizei) wenden. Die Taschengeldbörse ist lediglich Kontaktstelle und übernimmt keinerlei Haftung. </w:t>
      </w:r>
    </w:p>
    <w:p w:rsidR="00185183" w:rsidRPr="00185183" w:rsidRDefault="00185183" w:rsidP="00DB1377">
      <w:pPr>
        <w:tabs>
          <w:tab w:val="left" w:pos="2310"/>
        </w:tabs>
        <w:jc w:val="both"/>
        <w:rPr>
          <w:b/>
          <w:noProof/>
          <w:color w:val="0070C0"/>
          <w:sz w:val="28"/>
          <w:lang w:eastAsia="de-DE"/>
        </w:rPr>
      </w:pPr>
      <w:r w:rsidRPr="00185183">
        <w:rPr>
          <w:b/>
          <w:noProof/>
          <w:color w:val="0070C0"/>
          <w:sz w:val="28"/>
          <w:lang w:eastAsia="de-DE"/>
        </w:rPr>
        <w:t>Einverständniserklärung:</w:t>
      </w:r>
    </w:p>
    <w:p w:rsidR="00185183" w:rsidRDefault="007B06F9" w:rsidP="00DB1377">
      <w:pPr>
        <w:tabs>
          <w:tab w:val="left" w:pos="2310"/>
        </w:tabs>
        <w:jc w:val="both"/>
        <w:rPr>
          <w:sz w:val="24"/>
          <w:szCs w:val="24"/>
        </w:rPr>
      </w:pPr>
      <w:r>
        <w:rPr>
          <w:sz w:val="24"/>
          <w:szCs w:val="24"/>
        </w:rPr>
        <w:t>Mit den oben genannten Bedingungen erkläre ich mich vollen Umfangs einverstanden:</w:t>
      </w:r>
    </w:p>
    <w:p w:rsidR="00185183" w:rsidRDefault="00185183" w:rsidP="00DB1377">
      <w:pPr>
        <w:tabs>
          <w:tab w:val="left" w:pos="2310"/>
        </w:tabs>
        <w:jc w:val="both"/>
        <w:rPr>
          <w:sz w:val="24"/>
          <w:szCs w:val="24"/>
        </w:rPr>
      </w:pPr>
      <w:r>
        <w:rPr>
          <w:sz w:val="24"/>
          <w:szCs w:val="24"/>
        </w:rPr>
        <w:t>Hamburg, den</w:t>
      </w:r>
    </w:p>
    <w:p w:rsidR="00185183" w:rsidRDefault="00185183" w:rsidP="00DB1377">
      <w:pPr>
        <w:tabs>
          <w:tab w:val="left" w:pos="2310"/>
        </w:tabs>
        <w:jc w:val="both"/>
        <w:rPr>
          <w:sz w:val="24"/>
          <w:szCs w:val="24"/>
        </w:rPr>
      </w:pPr>
    </w:p>
    <w:p w:rsidR="00185183" w:rsidRDefault="00185183" w:rsidP="00DB1377">
      <w:pPr>
        <w:tabs>
          <w:tab w:val="left" w:pos="2310"/>
        </w:tabs>
        <w:jc w:val="both"/>
        <w:rPr>
          <w:sz w:val="24"/>
          <w:szCs w:val="24"/>
        </w:rPr>
      </w:pPr>
      <w:r>
        <w:rPr>
          <w:sz w:val="24"/>
          <w:szCs w:val="24"/>
        </w:rPr>
        <w:t>_________________________</w:t>
      </w:r>
      <w:r>
        <w:rPr>
          <w:sz w:val="24"/>
          <w:szCs w:val="24"/>
        </w:rPr>
        <w:tab/>
      </w:r>
      <w:r>
        <w:rPr>
          <w:sz w:val="24"/>
          <w:szCs w:val="24"/>
        </w:rPr>
        <w:tab/>
      </w:r>
      <w:r>
        <w:rPr>
          <w:sz w:val="24"/>
          <w:szCs w:val="24"/>
        </w:rPr>
        <w:tab/>
      </w:r>
      <w:r>
        <w:rPr>
          <w:sz w:val="24"/>
          <w:szCs w:val="24"/>
        </w:rPr>
        <w:tab/>
        <w:t>_________________________</w:t>
      </w:r>
    </w:p>
    <w:p w:rsidR="00185183" w:rsidRDefault="00185183" w:rsidP="00DB1377">
      <w:pPr>
        <w:tabs>
          <w:tab w:val="left" w:pos="2310"/>
        </w:tabs>
        <w:jc w:val="both"/>
        <w:rPr>
          <w:sz w:val="24"/>
          <w:szCs w:val="24"/>
        </w:rPr>
      </w:pPr>
      <w:r>
        <w:rPr>
          <w:sz w:val="24"/>
          <w:szCs w:val="24"/>
        </w:rPr>
        <w:t>Senior*in</w:t>
      </w:r>
      <w:r>
        <w:rPr>
          <w:sz w:val="24"/>
          <w:szCs w:val="24"/>
        </w:rPr>
        <w:tab/>
      </w:r>
      <w:r>
        <w:rPr>
          <w:sz w:val="24"/>
          <w:szCs w:val="24"/>
        </w:rPr>
        <w:tab/>
      </w:r>
      <w:r>
        <w:rPr>
          <w:sz w:val="24"/>
          <w:szCs w:val="24"/>
        </w:rPr>
        <w:tab/>
      </w:r>
      <w:r>
        <w:rPr>
          <w:sz w:val="24"/>
          <w:szCs w:val="24"/>
        </w:rPr>
        <w:tab/>
      </w:r>
      <w:r>
        <w:rPr>
          <w:sz w:val="24"/>
          <w:szCs w:val="24"/>
        </w:rPr>
        <w:tab/>
      </w:r>
      <w:r>
        <w:rPr>
          <w:sz w:val="24"/>
          <w:szCs w:val="24"/>
        </w:rPr>
        <w:tab/>
        <w:t>Jugendliche*r</w:t>
      </w:r>
    </w:p>
    <w:p w:rsidR="00185183" w:rsidRDefault="00185183" w:rsidP="00DB1377">
      <w:pPr>
        <w:tabs>
          <w:tab w:val="left" w:pos="2310"/>
        </w:tabs>
        <w:jc w:val="both"/>
        <w:rPr>
          <w:sz w:val="24"/>
          <w:szCs w:val="24"/>
        </w:rPr>
      </w:pPr>
    </w:p>
    <w:p w:rsidR="009440F5" w:rsidRPr="00185183" w:rsidRDefault="009440F5" w:rsidP="00DB1377">
      <w:pPr>
        <w:tabs>
          <w:tab w:val="left" w:pos="2310"/>
        </w:tabs>
        <w:jc w:val="both"/>
        <w:rPr>
          <w:i/>
          <w:sz w:val="24"/>
          <w:szCs w:val="24"/>
        </w:rPr>
      </w:pPr>
      <w:r w:rsidRPr="00185183">
        <w:rPr>
          <w:sz w:val="24"/>
          <w:szCs w:val="24"/>
        </w:rPr>
        <w:t>Insbesondere zu beachten sind</w:t>
      </w:r>
      <w:r w:rsidRPr="00185183">
        <w:rPr>
          <w:i/>
          <w:sz w:val="24"/>
          <w:szCs w:val="24"/>
        </w:rPr>
        <w:t>:</w:t>
      </w:r>
    </w:p>
    <w:p w:rsidR="009440F5" w:rsidRPr="00185183" w:rsidRDefault="009440F5" w:rsidP="00DB1377">
      <w:pPr>
        <w:tabs>
          <w:tab w:val="left" w:pos="2310"/>
        </w:tabs>
        <w:spacing w:before="360" w:after="120"/>
        <w:jc w:val="both"/>
        <w:rPr>
          <w:sz w:val="24"/>
          <w:szCs w:val="24"/>
          <w:u w:val="single"/>
        </w:rPr>
      </w:pPr>
      <w:r w:rsidRPr="00185183">
        <w:rPr>
          <w:sz w:val="24"/>
          <w:szCs w:val="24"/>
          <w:u w:val="single"/>
        </w:rPr>
        <w:t>Jugendarbeitsschutz</w:t>
      </w:r>
    </w:p>
    <w:p w:rsidR="009440F5" w:rsidRPr="00185183" w:rsidRDefault="009440F5" w:rsidP="00DB1377">
      <w:pPr>
        <w:tabs>
          <w:tab w:val="left" w:pos="2310"/>
        </w:tabs>
        <w:jc w:val="both"/>
        <w:rPr>
          <w:sz w:val="24"/>
          <w:szCs w:val="24"/>
        </w:rPr>
      </w:pPr>
      <w:r w:rsidRPr="00185183">
        <w:rPr>
          <w:sz w:val="24"/>
          <w:szCs w:val="24"/>
        </w:rPr>
        <w:t xml:space="preserve">Bei allen Tätigkeiten im Rahmen der Taschengeldbörse muss es sich um geringfügige Hilfeleistungen, die gelegentlich aus Gefälligkeit erbracht werden, handeln. Diese Tätigkeiten liegen außerhalb des Geltungsbereiches des Jugendarbeitsschutzgesetzes (vgl. §1 Abs. 2 </w:t>
      </w:r>
      <w:proofErr w:type="spellStart"/>
      <w:r w:rsidRPr="00185183">
        <w:rPr>
          <w:sz w:val="24"/>
          <w:szCs w:val="24"/>
        </w:rPr>
        <w:t>JArbSchG</w:t>
      </w:r>
      <w:proofErr w:type="spellEnd"/>
      <w:r w:rsidRPr="00185183">
        <w:rPr>
          <w:sz w:val="24"/>
          <w:szCs w:val="24"/>
        </w:rPr>
        <w:t xml:space="preserve">). </w:t>
      </w:r>
    </w:p>
    <w:p w:rsidR="009440F5" w:rsidRPr="00185183" w:rsidRDefault="009440F5" w:rsidP="00DB1377">
      <w:pPr>
        <w:tabs>
          <w:tab w:val="left" w:pos="2310"/>
        </w:tabs>
        <w:spacing w:before="360" w:after="120"/>
        <w:jc w:val="both"/>
        <w:rPr>
          <w:sz w:val="24"/>
          <w:szCs w:val="24"/>
          <w:u w:val="single"/>
        </w:rPr>
      </w:pPr>
      <w:r w:rsidRPr="00185183">
        <w:rPr>
          <w:sz w:val="24"/>
          <w:szCs w:val="24"/>
          <w:u w:val="single"/>
        </w:rPr>
        <w:t>Sozialversicherungspflicht</w:t>
      </w:r>
    </w:p>
    <w:p w:rsidR="009440F5" w:rsidRPr="00185183" w:rsidRDefault="009440F5" w:rsidP="00DB1377">
      <w:pPr>
        <w:tabs>
          <w:tab w:val="left" w:pos="2310"/>
        </w:tabs>
        <w:jc w:val="both"/>
        <w:rPr>
          <w:sz w:val="24"/>
          <w:szCs w:val="24"/>
        </w:rPr>
      </w:pPr>
      <w:r w:rsidRPr="00185183">
        <w:rPr>
          <w:sz w:val="24"/>
          <w:szCs w:val="24"/>
        </w:rPr>
        <w:t>Tätigkeiten im Rahmen der Taschengeldbörse sind nicht als versicherungspflichtiges Beschäftigungsverhältnis im sozialversicherungsrechtlichen Sinne zu beurteilen, solange keine persönliche Abhängigkeit von einem Arbeitgeber gegeben ist (vgl. § 7 Abs.1 SGB IV). Eine Abhängigkeit zeichnet sich u.</w:t>
      </w:r>
      <w:r w:rsidRPr="00185183">
        <w:rPr>
          <w:w w:val="50"/>
          <w:sz w:val="24"/>
          <w:szCs w:val="24"/>
        </w:rPr>
        <w:t> </w:t>
      </w:r>
      <w:r w:rsidRPr="00185183">
        <w:rPr>
          <w:sz w:val="24"/>
          <w:szCs w:val="24"/>
        </w:rPr>
        <w:t>a. durch das Weisungsrecht des Arbeitgebers, d.</w:t>
      </w:r>
      <w:r w:rsidRPr="00185183">
        <w:rPr>
          <w:w w:val="50"/>
          <w:sz w:val="24"/>
          <w:szCs w:val="24"/>
        </w:rPr>
        <w:t> </w:t>
      </w:r>
      <w:r w:rsidRPr="00185183">
        <w:rPr>
          <w:sz w:val="24"/>
          <w:szCs w:val="24"/>
        </w:rPr>
        <w:t>h. durch Vorgaben hinsichtlich des Inhalts, der Durchführung, Zeit, Dauer und Ort der Tätigkeit aus. Innerhalb der Taschengeldbörse soll hierzu ein Dialog zwischen Jugendlichen und Jobanbieter entstehen.</w:t>
      </w:r>
    </w:p>
    <w:p w:rsidR="009440F5" w:rsidRPr="00185183" w:rsidRDefault="009440F5" w:rsidP="00DB1377">
      <w:pPr>
        <w:tabs>
          <w:tab w:val="left" w:pos="2310"/>
        </w:tabs>
        <w:jc w:val="both"/>
        <w:rPr>
          <w:sz w:val="24"/>
          <w:szCs w:val="24"/>
        </w:rPr>
      </w:pPr>
      <w:r w:rsidRPr="00185183">
        <w:rPr>
          <w:sz w:val="24"/>
          <w:szCs w:val="24"/>
        </w:rPr>
        <w:t>Sollte aus der zunächst einmaligen Hilfestellung eines Jugendlichen ein Beschäftigungsverhältnis entstehen, muss der Jugendliche von dem hilfesuchenden Haushalt bei der Minijobzentrale angemeldet werden. In dem Fall muss der Auftraggeber – neben anderen dann entstehenden Pflichten – auch Sozialversicherungsbeiträge zahlen. Die Anmeldung eines Minijobs muss für jeden Haushalt einzeln erfolgen.</w:t>
      </w:r>
    </w:p>
    <w:p w:rsidR="009440F5" w:rsidRPr="00185183" w:rsidRDefault="009440F5" w:rsidP="00DB1377">
      <w:pPr>
        <w:tabs>
          <w:tab w:val="left" w:pos="2310"/>
        </w:tabs>
        <w:spacing w:before="360" w:after="120"/>
        <w:jc w:val="both"/>
        <w:rPr>
          <w:sz w:val="24"/>
          <w:szCs w:val="24"/>
          <w:u w:val="single"/>
        </w:rPr>
      </w:pPr>
      <w:r w:rsidRPr="00185183">
        <w:rPr>
          <w:sz w:val="24"/>
          <w:szCs w:val="24"/>
          <w:u w:val="single"/>
        </w:rPr>
        <w:t>Einkommenssteuer/Umsatzsteuer</w:t>
      </w:r>
    </w:p>
    <w:p w:rsidR="009440F5" w:rsidRPr="00185183" w:rsidRDefault="009440F5" w:rsidP="00DB1377">
      <w:pPr>
        <w:tabs>
          <w:tab w:val="left" w:pos="2310"/>
        </w:tabs>
        <w:jc w:val="both"/>
        <w:rPr>
          <w:sz w:val="24"/>
          <w:szCs w:val="24"/>
        </w:rPr>
      </w:pPr>
      <w:r w:rsidRPr="00185183">
        <w:rPr>
          <w:sz w:val="24"/>
          <w:szCs w:val="24"/>
        </w:rPr>
        <w:t>Der Jugendliche muss nur Einkommensteuer zahlen, sofern sein Einkommen gemäß § 32a Abs. 1 Ziffer 1 EStG den Grundfreibetrag von aktuell 8.354 € (Stand 2015) übersteigt.</w:t>
      </w:r>
    </w:p>
    <w:p w:rsidR="009440F5" w:rsidRPr="00185183" w:rsidRDefault="009440F5" w:rsidP="00DB1377">
      <w:pPr>
        <w:tabs>
          <w:tab w:val="left" w:pos="2310"/>
        </w:tabs>
        <w:jc w:val="both"/>
        <w:rPr>
          <w:sz w:val="24"/>
          <w:szCs w:val="24"/>
        </w:rPr>
      </w:pPr>
      <w:r w:rsidRPr="00185183">
        <w:rPr>
          <w:sz w:val="24"/>
          <w:szCs w:val="24"/>
        </w:rPr>
        <w:t>Der Jugendliche muss nur Umsatzsteuer zahlen, wenn sein Umsatz gemäß § 19 UStG absehbar oder im Vorjahr 17.500 € übersteigt.</w:t>
      </w:r>
    </w:p>
    <w:p w:rsidR="009440F5" w:rsidRPr="00185183" w:rsidRDefault="009440F5" w:rsidP="00DB1377">
      <w:pPr>
        <w:tabs>
          <w:tab w:val="left" w:pos="2310"/>
        </w:tabs>
        <w:spacing w:before="360" w:after="120"/>
        <w:jc w:val="both"/>
        <w:rPr>
          <w:sz w:val="24"/>
          <w:szCs w:val="24"/>
          <w:u w:val="single"/>
        </w:rPr>
      </w:pPr>
      <w:r w:rsidRPr="00185183">
        <w:rPr>
          <w:sz w:val="24"/>
          <w:szCs w:val="24"/>
          <w:u w:val="single"/>
        </w:rPr>
        <w:t>Bezug von Sozialleistungen</w:t>
      </w:r>
    </w:p>
    <w:p w:rsidR="009440F5" w:rsidRPr="00185183" w:rsidRDefault="009440F5" w:rsidP="00DB1377">
      <w:pPr>
        <w:tabs>
          <w:tab w:val="left" w:pos="2310"/>
        </w:tabs>
        <w:jc w:val="both"/>
        <w:rPr>
          <w:sz w:val="24"/>
          <w:szCs w:val="24"/>
        </w:rPr>
      </w:pPr>
      <w:r w:rsidRPr="00185183">
        <w:rPr>
          <w:sz w:val="24"/>
          <w:szCs w:val="24"/>
        </w:rPr>
        <w:t>Jobber, die Sozialleistungen (SGB II, BAföG, ALG II, Hartz IV, Wohngeld, etc.) beziehen, müssen unter Umständen das erzielte Einkommen beim zuständigen Träger angeben. Bitte setzen Sie sich ggf. mit dem zuständigen Leistungsträger in Verbindung.</w:t>
      </w:r>
    </w:p>
    <w:p w:rsidR="00BA251E" w:rsidRPr="00185183" w:rsidRDefault="009440F5" w:rsidP="00DB1377">
      <w:pPr>
        <w:tabs>
          <w:tab w:val="left" w:pos="2310"/>
        </w:tabs>
        <w:spacing w:after="0" w:line="240" w:lineRule="auto"/>
        <w:jc w:val="both"/>
        <w:rPr>
          <w:sz w:val="24"/>
          <w:szCs w:val="24"/>
        </w:rPr>
      </w:pPr>
      <w:r w:rsidRPr="00185183">
        <w:rPr>
          <w:sz w:val="24"/>
          <w:szCs w:val="24"/>
        </w:rPr>
        <w:t>Grundsätzlich sind Einkünfte von Jugendlichen als Einnahmen ihrer Bedarfsgemeinschaft (Familie, Lebensgemeinschaft, WG) nach § 11 SGB II zu berücksichtigen und damit anzugeben. Es gilt ein Freibetrag von 100 € im Monat, danach gilt eine abgestufte Senkung der ALG2-Leistung (vgl. § 11b Abs. 2 SGB II).</w:t>
      </w:r>
      <w:r w:rsidR="00BA251E" w:rsidRPr="00185183">
        <w:rPr>
          <w:sz w:val="24"/>
          <w:szCs w:val="24"/>
        </w:rPr>
        <w:t xml:space="preserve"> </w:t>
      </w:r>
    </w:p>
    <w:p w:rsidR="00BA251E" w:rsidRPr="00185183" w:rsidRDefault="00BA251E" w:rsidP="00DB1377">
      <w:pPr>
        <w:tabs>
          <w:tab w:val="left" w:pos="2310"/>
        </w:tabs>
        <w:spacing w:after="0" w:line="240" w:lineRule="auto"/>
        <w:jc w:val="both"/>
        <w:rPr>
          <w:sz w:val="24"/>
          <w:szCs w:val="24"/>
        </w:rPr>
      </w:pPr>
    </w:p>
    <w:p w:rsidR="00BA251E" w:rsidRPr="00185183" w:rsidRDefault="00BA251E" w:rsidP="00DB1377">
      <w:pPr>
        <w:tabs>
          <w:tab w:val="left" w:pos="2310"/>
        </w:tabs>
        <w:spacing w:after="0" w:line="240" w:lineRule="auto"/>
        <w:jc w:val="both"/>
        <w:rPr>
          <w:sz w:val="24"/>
          <w:szCs w:val="24"/>
        </w:rPr>
      </w:pPr>
    </w:p>
    <w:p w:rsidR="00BA251E" w:rsidRPr="00185183" w:rsidRDefault="009440F5" w:rsidP="00DB1377">
      <w:pPr>
        <w:tabs>
          <w:tab w:val="left" w:pos="2310"/>
        </w:tabs>
        <w:spacing w:after="0" w:line="240" w:lineRule="auto"/>
        <w:jc w:val="both"/>
        <w:rPr>
          <w:sz w:val="24"/>
          <w:szCs w:val="24"/>
          <w:u w:val="single"/>
        </w:rPr>
      </w:pPr>
      <w:r w:rsidRPr="00185183">
        <w:rPr>
          <w:sz w:val="24"/>
          <w:szCs w:val="24"/>
          <w:u w:val="single"/>
        </w:rPr>
        <w:t>Unfall- und Haftpflichtversicherung</w:t>
      </w:r>
    </w:p>
    <w:p w:rsidR="00BA251E" w:rsidRPr="00185183" w:rsidRDefault="00BA251E" w:rsidP="00DB1377">
      <w:pPr>
        <w:tabs>
          <w:tab w:val="left" w:pos="2310"/>
        </w:tabs>
        <w:spacing w:after="0" w:line="240" w:lineRule="auto"/>
        <w:jc w:val="both"/>
        <w:rPr>
          <w:sz w:val="24"/>
          <w:szCs w:val="24"/>
          <w:u w:val="single"/>
        </w:rPr>
      </w:pPr>
    </w:p>
    <w:p w:rsidR="00185183" w:rsidRDefault="009440F5" w:rsidP="00DB1377">
      <w:pPr>
        <w:tabs>
          <w:tab w:val="left" w:pos="2310"/>
        </w:tabs>
        <w:spacing w:after="0" w:line="240" w:lineRule="auto"/>
        <w:jc w:val="both"/>
        <w:rPr>
          <w:sz w:val="24"/>
          <w:szCs w:val="24"/>
        </w:rPr>
      </w:pPr>
      <w:r w:rsidRPr="00185183">
        <w:rPr>
          <w:sz w:val="24"/>
          <w:szCs w:val="24"/>
        </w:rPr>
        <w:t xml:space="preserve">Ein Versicherungsschutz über die Taschengeldbörse besteht nicht. Jedem Jobber wird empfohlen, dafür zu sorgen, dass eine private Haftpflicht- und Unfallversicherung (ggf. über die </w:t>
      </w:r>
    </w:p>
    <w:p w:rsidR="00185183" w:rsidRDefault="00185183" w:rsidP="00DB1377">
      <w:pPr>
        <w:tabs>
          <w:tab w:val="left" w:pos="2310"/>
        </w:tabs>
        <w:spacing w:after="0" w:line="240" w:lineRule="auto"/>
        <w:jc w:val="both"/>
        <w:rPr>
          <w:sz w:val="24"/>
          <w:szCs w:val="24"/>
        </w:rPr>
      </w:pPr>
    </w:p>
    <w:p w:rsidR="009440F5" w:rsidRPr="00185183" w:rsidRDefault="009440F5" w:rsidP="00DB1377">
      <w:pPr>
        <w:tabs>
          <w:tab w:val="left" w:pos="2310"/>
        </w:tabs>
        <w:spacing w:after="0" w:line="240" w:lineRule="auto"/>
        <w:jc w:val="both"/>
        <w:rPr>
          <w:sz w:val="24"/>
          <w:szCs w:val="24"/>
        </w:rPr>
      </w:pPr>
      <w:r w:rsidRPr="00185183">
        <w:rPr>
          <w:sz w:val="24"/>
          <w:szCs w:val="24"/>
        </w:rPr>
        <w:t>Eltern) vorhanden ist, da ansonsten für evtl. versicherungsrelevante Schäden keine Versicherung besteht. Gegebenenfalls übernimmt die private Haftpflicht des Jugendlichen (wenn vorhanden) entstandene Sachschäden und die private Unfallversicherung (wenn vorhanden) entstandene Personenschäden. Darüber hinaus sind die Jugendlichen, sofern nicht in Ausbildung, i.d.R. über die private oder gesetzliche Krankenversicherung der Erziehungsberechtigten mitversichert (Familienversicherung). Die Versicherungsbedingungen sind im Einzelfall zu prüfen, ob die Tätigkeiten einer Taschengeldbörse abgedeckt werden.</w:t>
      </w:r>
    </w:p>
    <w:p w:rsidR="009440F5" w:rsidRPr="00185183" w:rsidRDefault="009440F5" w:rsidP="00DB1377">
      <w:pPr>
        <w:tabs>
          <w:tab w:val="left" w:pos="2310"/>
        </w:tabs>
        <w:spacing w:before="360" w:after="120"/>
        <w:jc w:val="both"/>
        <w:rPr>
          <w:sz w:val="24"/>
          <w:szCs w:val="24"/>
          <w:u w:val="single"/>
        </w:rPr>
      </w:pPr>
      <w:r w:rsidRPr="00185183">
        <w:rPr>
          <w:sz w:val="24"/>
          <w:szCs w:val="24"/>
          <w:u w:val="single"/>
        </w:rPr>
        <w:t>Datenschutz</w:t>
      </w:r>
    </w:p>
    <w:p w:rsidR="009440F5" w:rsidRPr="00185183" w:rsidRDefault="009440F5" w:rsidP="00DB1377">
      <w:pPr>
        <w:tabs>
          <w:tab w:val="left" w:pos="2310"/>
        </w:tabs>
        <w:jc w:val="both"/>
        <w:rPr>
          <w:sz w:val="24"/>
          <w:szCs w:val="24"/>
        </w:rPr>
      </w:pPr>
      <w:r w:rsidRPr="00185183">
        <w:rPr>
          <w:sz w:val="24"/>
          <w:szCs w:val="24"/>
        </w:rPr>
        <w:t>Der Träger der Taschengeldbörse erhebt die personenbezogenen Daten und verwendet sie zu den nachfolgend genannten Zwecken. Die personenbezogenen Daten werden im Falle der Anmeldung bei der Taschengeldbörse erhoben, gespeichert, übermittelt, verarbeitet und genutzt sowie zur Kontaktherstellung zwischen J</w:t>
      </w:r>
      <w:r w:rsidR="00EB450A" w:rsidRPr="00185183">
        <w:rPr>
          <w:sz w:val="24"/>
          <w:szCs w:val="24"/>
        </w:rPr>
        <w:t xml:space="preserve">ugendlichen und </w:t>
      </w:r>
      <w:proofErr w:type="spellStart"/>
      <w:r w:rsidR="00EB450A" w:rsidRPr="00185183">
        <w:rPr>
          <w:sz w:val="24"/>
          <w:szCs w:val="24"/>
        </w:rPr>
        <w:t>Senior_innen</w:t>
      </w:r>
      <w:proofErr w:type="spellEnd"/>
      <w:r w:rsidRPr="00185183">
        <w:rPr>
          <w:sz w:val="24"/>
          <w:szCs w:val="24"/>
        </w:rPr>
        <w:t xml:space="preserve">  weitergegeben. Zu </w:t>
      </w:r>
      <w:r w:rsidR="003106FA" w:rsidRPr="00185183">
        <w:rPr>
          <w:sz w:val="24"/>
          <w:szCs w:val="24"/>
        </w:rPr>
        <w:t>anderen</w:t>
      </w:r>
      <w:r w:rsidRPr="00185183">
        <w:rPr>
          <w:sz w:val="24"/>
          <w:szCs w:val="24"/>
        </w:rPr>
        <w:t xml:space="preserve"> Zwecken werden die personenbezogenen Daten vom Träger der Taschengeldbörse nicht an Dritte weitergegeben.</w:t>
      </w:r>
    </w:p>
    <w:p w:rsidR="009440F5" w:rsidRPr="00185183" w:rsidRDefault="009440F5" w:rsidP="00DB1377">
      <w:pPr>
        <w:tabs>
          <w:tab w:val="left" w:pos="2310"/>
        </w:tabs>
        <w:jc w:val="both"/>
        <w:rPr>
          <w:sz w:val="24"/>
          <w:szCs w:val="24"/>
        </w:rPr>
      </w:pPr>
      <w:r w:rsidRPr="00185183">
        <w:rPr>
          <w:sz w:val="24"/>
          <w:szCs w:val="24"/>
        </w:rPr>
        <w:t>Die Taschengeldbörse gibt jederzeit auf Nachfrage Auskunft über die gespeicherten personenbezogenen Daten</w:t>
      </w:r>
      <w:r w:rsidR="003106FA" w:rsidRPr="00185183">
        <w:rPr>
          <w:sz w:val="24"/>
          <w:szCs w:val="24"/>
        </w:rPr>
        <w:t xml:space="preserve">. </w:t>
      </w:r>
      <w:r w:rsidRPr="00185183">
        <w:rPr>
          <w:sz w:val="24"/>
          <w:szCs w:val="24"/>
        </w:rPr>
        <w:t>Zudem können jederzeit auf Verlangen die Daten berichtigt sowie gelöscht werden.</w:t>
      </w:r>
    </w:p>
    <w:p w:rsidR="009440F5" w:rsidRPr="00185183" w:rsidRDefault="009440F5" w:rsidP="00DB1377">
      <w:pPr>
        <w:tabs>
          <w:tab w:val="left" w:pos="2310"/>
        </w:tabs>
        <w:jc w:val="both"/>
        <w:rPr>
          <w:sz w:val="24"/>
          <w:szCs w:val="24"/>
        </w:rPr>
      </w:pPr>
      <w:r w:rsidRPr="00185183">
        <w:rPr>
          <w:sz w:val="24"/>
          <w:szCs w:val="24"/>
        </w:rPr>
        <w:t>Bei der Anmeldung werden die Teilnehmerinnen und Teilnehmer über die</w:t>
      </w:r>
      <w:r w:rsidR="00030272" w:rsidRPr="00185183">
        <w:rPr>
          <w:sz w:val="24"/>
          <w:szCs w:val="24"/>
        </w:rPr>
        <w:t xml:space="preserve"> </w:t>
      </w:r>
      <w:r w:rsidRPr="00185183">
        <w:rPr>
          <w:sz w:val="24"/>
          <w:szCs w:val="24"/>
        </w:rPr>
        <w:t>Datenschutz</w:t>
      </w:r>
      <w:r w:rsidR="003106FA" w:rsidRPr="00185183">
        <w:rPr>
          <w:sz w:val="24"/>
          <w:szCs w:val="24"/>
        </w:rPr>
        <w:t xml:space="preserve">grundverordnung </w:t>
      </w:r>
      <w:r w:rsidRPr="00185183">
        <w:rPr>
          <w:sz w:val="24"/>
          <w:szCs w:val="24"/>
        </w:rPr>
        <w:t>informiert. Eine Anmeldung an der Taschengeldbörse kann nur bei Unterzeichnung der Datenschutzerklärung erfolgen. Bei Minderjährigen müssen auch die Sorgeberechtigten der Einwilligung zum Datenschutz zustimmen.</w:t>
      </w:r>
    </w:p>
    <w:p w:rsidR="00185183" w:rsidRPr="00185183" w:rsidRDefault="00185183" w:rsidP="00DB1377">
      <w:pPr>
        <w:tabs>
          <w:tab w:val="left" w:pos="2310"/>
        </w:tabs>
        <w:jc w:val="both"/>
        <w:rPr>
          <w:sz w:val="24"/>
          <w:szCs w:val="24"/>
        </w:rPr>
      </w:pPr>
    </w:p>
    <w:p w:rsidR="00185183" w:rsidRPr="00185183" w:rsidRDefault="00185183" w:rsidP="00185183">
      <w:pPr>
        <w:tabs>
          <w:tab w:val="left" w:pos="2310"/>
        </w:tabs>
        <w:jc w:val="both"/>
        <w:rPr>
          <w:sz w:val="24"/>
          <w:szCs w:val="24"/>
        </w:rPr>
      </w:pPr>
    </w:p>
    <w:p w:rsidR="00185183" w:rsidRPr="00185183" w:rsidRDefault="00185183" w:rsidP="00185183">
      <w:pPr>
        <w:pBdr>
          <w:top w:val="single" w:sz="4" w:space="1" w:color="auto"/>
          <w:bottom w:val="single" w:sz="4" w:space="1" w:color="auto"/>
        </w:pBdr>
        <w:tabs>
          <w:tab w:val="left" w:pos="2310"/>
        </w:tabs>
        <w:spacing w:after="0" w:line="240" w:lineRule="auto"/>
        <w:jc w:val="both"/>
        <w:rPr>
          <w:noProof/>
          <w:sz w:val="24"/>
          <w:szCs w:val="24"/>
          <w:u w:val="single"/>
          <w:lang w:eastAsia="de-DE"/>
        </w:rPr>
      </w:pPr>
      <w:r w:rsidRPr="00185183">
        <w:rPr>
          <w:i/>
          <w:iCs/>
          <w:sz w:val="24"/>
          <w:szCs w:val="24"/>
        </w:rPr>
        <w:t>Bitte beachten Sie, dass dieses Merkblatt keine Rechtsberatung darstellt. Alle Angaben sind ausschließlich als Information und Orientierungshilfe zu verstehen. Jung &amp; Alt e.V. übernimmt keine Gewähr.</w:t>
      </w:r>
      <w:r w:rsidRPr="00185183">
        <w:rPr>
          <w:i/>
          <w:iCs/>
          <w:sz w:val="24"/>
          <w:szCs w:val="24"/>
        </w:rPr>
        <w:t xml:space="preserve"> Mit freundlicher Genehmigung von und nach einem Vorbild der Taschengeldbörse Dorsten.</w:t>
      </w:r>
    </w:p>
    <w:p w:rsidR="00185183" w:rsidRPr="00185183" w:rsidRDefault="00185183" w:rsidP="00DB1377">
      <w:pPr>
        <w:tabs>
          <w:tab w:val="left" w:pos="2310"/>
        </w:tabs>
        <w:jc w:val="both"/>
        <w:rPr>
          <w:sz w:val="24"/>
          <w:szCs w:val="24"/>
        </w:rPr>
      </w:pPr>
    </w:p>
    <w:sectPr w:rsidR="00185183" w:rsidRPr="00185183" w:rsidSect="00EC43BB">
      <w:headerReference w:type="default" r:id="rId8"/>
      <w:footerReference w:type="even" r:id="rId9"/>
      <w:footerReference w:type="default" r:id="rId10"/>
      <w:pgSz w:w="11906" w:h="16838" w:code="9"/>
      <w:pgMar w:top="238" w:right="1418" w:bottom="249"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564" w:rsidRDefault="00893564" w:rsidP="00001BEA">
      <w:pPr>
        <w:spacing w:after="0" w:line="240" w:lineRule="auto"/>
      </w:pPr>
      <w:r>
        <w:separator/>
      </w:r>
    </w:p>
  </w:endnote>
  <w:endnote w:type="continuationSeparator" w:id="0">
    <w:p w:rsidR="00893564" w:rsidRDefault="00893564" w:rsidP="00001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49" w:rsidRDefault="00696749" w:rsidP="004A6AB4">
    <w:pPr>
      <w:pStyle w:val="Fuzeile"/>
      <w:framePr w:wrap="around" w:vAnchor="text" w:hAnchor="margin" w:xAlign="right" w:y="1"/>
      <w:rPr>
        <w:rStyle w:val="Seitenzahl"/>
      </w:rPr>
    </w:pPr>
    <w:r>
      <w:rPr>
        <w:rStyle w:val="Seitenzahl"/>
      </w:rPr>
      <w:fldChar w:fldCharType="begin"/>
    </w:r>
    <w:r w:rsidR="007E15BA">
      <w:rPr>
        <w:rStyle w:val="Seitenzahl"/>
      </w:rPr>
      <w:instrText>PAGE</w:instrText>
    </w:r>
    <w:r>
      <w:rPr>
        <w:rStyle w:val="Seitenzahl"/>
      </w:rPr>
      <w:instrText xml:space="preserve">  </w:instrText>
    </w:r>
    <w:r>
      <w:rPr>
        <w:rStyle w:val="Seitenzahl"/>
      </w:rPr>
      <w:fldChar w:fldCharType="end"/>
    </w:r>
  </w:p>
  <w:p w:rsidR="00C228AE" w:rsidRDefault="00C228AE" w:rsidP="0069674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749" w:rsidRDefault="00696749" w:rsidP="004A6AB4">
    <w:pPr>
      <w:pStyle w:val="Fuzeile"/>
      <w:framePr w:wrap="around" w:vAnchor="text" w:hAnchor="margin" w:xAlign="right" w:y="1"/>
      <w:rPr>
        <w:rStyle w:val="Seitenzahl"/>
      </w:rPr>
    </w:pPr>
    <w:r>
      <w:rPr>
        <w:rStyle w:val="Seitenzahl"/>
      </w:rPr>
      <w:fldChar w:fldCharType="begin"/>
    </w:r>
    <w:r w:rsidR="007E15BA">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rsidR="00C228AE" w:rsidRDefault="00C228AE" w:rsidP="0069674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564" w:rsidRDefault="00893564" w:rsidP="00001BEA">
      <w:pPr>
        <w:spacing w:after="0" w:line="240" w:lineRule="auto"/>
      </w:pPr>
      <w:r>
        <w:t>––––––––––––––––––––––––––––––––––––––––––––––––––––––––––––––––––––––––––––––––––</w:t>
      </w:r>
    </w:p>
  </w:footnote>
  <w:footnote w:type="continuationSeparator" w:id="0">
    <w:p w:rsidR="00893564" w:rsidRDefault="00893564" w:rsidP="00001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3CF" w:rsidRPr="00185183" w:rsidRDefault="00287462" w:rsidP="00185183">
    <w:pPr>
      <w:spacing w:after="0" w:line="240" w:lineRule="auto"/>
      <w:jc w:val="right"/>
      <w:rPr>
        <w:rFonts w:ascii="Times New Roman" w:eastAsia="Times New Roman" w:hAnsi="Times New Roman"/>
        <w:sz w:val="24"/>
        <w:szCs w:val="24"/>
        <w:lang w:eastAsia="de-DE"/>
      </w:rPr>
    </w:pPr>
    <w:r>
      <w:rPr>
        <w:noProof/>
        <w:lang w:eastAsia="de-DE"/>
      </w:rPr>
      <w:t xml:space="preserve">  </w:t>
    </w:r>
    <w:r w:rsidR="00977FC3">
      <w:rPr>
        <w:rFonts w:ascii="Times New Roman" w:eastAsia="Times New Roman" w:hAnsi="Times New Roman"/>
        <w:sz w:val="24"/>
        <w:szCs w:val="24"/>
        <w:lang w:eastAsia="de-DE"/>
      </w:rPr>
      <w:t xml:space="preserve">                                                                  </w:t>
    </w:r>
    <w:r w:rsidR="00977FC3">
      <w:rPr>
        <w:noProof/>
      </w:rPr>
      <w:drawing>
        <wp:inline distT="0" distB="0" distL="0" distR="0" wp14:anchorId="6E16F913" wp14:editId="025E4D36">
          <wp:extent cx="874800" cy="547200"/>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874800" cy="547200"/>
                  </a:xfrm>
                  <a:prstGeom prst="rect">
                    <a:avLst/>
                  </a:prstGeom>
                </pic:spPr>
              </pic:pic>
            </a:graphicData>
          </a:graphic>
        </wp:inline>
      </w:drawing>
    </w:r>
    <w:r w:rsidR="006363CF">
      <w:rPr>
        <w:noProof/>
        <w:lang w:eastAsia="de-DE"/>
      </w:rPr>
      <w:tab/>
    </w:r>
  </w:p>
  <w:p w:rsidR="008F3BE8" w:rsidRPr="008F3BE8" w:rsidRDefault="008F3BE8" w:rsidP="00EC43BB">
    <w:pPr>
      <w:pStyle w:val="Kopfzeile"/>
      <w:pBdr>
        <w:bottom w:val="single" w:sz="4" w:space="1" w:color="auto"/>
      </w:pBdr>
      <w:rPr>
        <w:noProof/>
        <w:sz w:val="16"/>
        <w:szCs w:val="16"/>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CCC56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B7B388D"/>
    <w:multiLevelType w:val="hybridMultilevel"/>
    <w:tmpl w:val="631A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BE4412"/>
    <w:multiLevelType w:val="hybridMultilevel"/>
    <w:tmpl w:val="489863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567"/>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16"/>
    <w:rsid w:val="00001BEA"/>
    <w:rsid w:val="00020498"/>
    <w:rsid w:val="00030272"/>
    <w:rsid w:val="0008352D"/>
    <w:rsid w:val="000879EB"/>
    <w:rsid w:val="000A61B0"/>
    <w:rsid w:val="000C4942"/>
    <w:rsid w:val="000C6D95"/>
    <w:rsid w:val="000D1C50"/>
    <w:rsid w:val="000F053D"/>
    <w:rsid w:val="000F6502"/>
    <w:rsid w:val="00142850"/>
    <w:rsid w:val="00145DE5"/>
    <w:rsid w:val="001463A5"/>
    <w:rsid w:val="001570D1"/>
    <w:rsid w:val="00165773"/>
    <w:rsid w:val="001779A0"/>
    <w:rsid w:val="00185183"/>
    <w:rsid w:val="00192A4B"/>
    <w:rsid w:val="0019568B"/>
    <w:rsid w:val="001D724F"/>
    <w:rsid w:val="001F7AA5"/>
    <w:rsid w:val="00202DA8"/>
    <w:rsid w:val="00214565"/>
    <w:rsid w:val="0024082A"/>
    <w:rsid w:val="00253B3F"/>
    <w:rsid w:val="00264B50"/>
    <w:rsid w:val="00282009"/>
    <w:rsid w:val="00284CBA"/>
    <w:rsid w:val="00287462"/>
    <w:rsid w:val="002C278E"/>
    <w:rsid w:val="002C641C"/>
    <w:rsid w:val="002C70F9"/>
    <w:rsid w:val="002D4118"/>
    <w:rsid w:val="003003CC"/>
    <w:rsid w:val="0030199C"/>
    <w:rsid w:val="003106FA"/>
    <w:rsid w:val="00344E16"/>
    <w:rsid w:val="00362016"/>
    <w:rsid w:val="00394E66"/>
    <w:rsid w:val="003A32FB"/>
    <w:rsid w:val="003C39C4"/>
    <w:rsid w:val="003F6F2F"/>
    <w:rsid w:val="00401D75"/>
    <w:rsid w:val="00404217"/>
    <w:rsid w:val="00410DEC"/>
    <w:rsid w:val="004337FF"/>
    <w:rsid w:val="00436B41"/>
    <w:rsid w:val="00447D9D"/>
    <w:rsid w:val="00456751"/>
    <w:rsid w:val="00456FAF"/>
    <w:rsid w:val="00476D0C"/>
    <w:rsid w:val="00493E39"/>
    <w:rsid w:val="00494614"/>
    <w:rsid w:val="00495859"/>
    <w:rsid w:val="0049711C"/>
    <w:rsid w:val="004A65A1"/>
    <w:rsid w:val="004A6AB4"/>
    <w:rsid w:val="004C1E91"/>
    <w:rsid w:val="004D09E5"/>
    <w:rsid w:val="004E3BEE"/>
    <w:rsid w:val="004F367F"/>
    <w:rsid w:val="00503D0E"/>
    <w:rsid w:val="00525420"/>
    <w:rsid w:val="00525627"/>
    <w:rsid w:val="0052574F"/>
    <w:rsid w:val="00536D83"/>
    <w:rsid w:val="00543C38"/>
    <w:rsid w:val="00562E94"/>
    <w:rsid w:val="00572265"/>
    <w:rsid w:val="005956DE"/>
    <w:rsid w:val="00596DAE"/>
    <w:rsid w:val="005A20C0"/>
    <w:rsid w:val="005B3125"/>
    <w:rsid w:val="005D20A6"/>
    <w:rsid w:val="005E1005"/>
    <w:rsid w:val="005E3419"/>
    <w:rsid w:val="005E3CFB"/>
    <w:rsid w:val="005F6C04"/>
    <w:rsid w:val="0062214D"/>
    <w:rsid w:val="006363CF"/>
    <w:rsid w:val="006506EE"/>
    <w:rsid w:val="006751E3"/>
    <w:rsid w:val="00692792"/>
    <w:rsid w:val="00694114"/>
    <w:rsid w:val="00696749"/>
    <w:rsid w:val="006A21AA"/>
    <w:rsid w:val="006A42E1"/>
    <w:rsid w:val="006A4876"/>
    <w:rsid w:val="006E5C17"/>
    <w:rsid w:val="006F2ECA"/>
    <w:rsid w:val="006F51FA"/>
    <w:rsid w:val="006F6C47"/>
    <w:rsid w:val="00740575"/>
    <w:rsid w:val="00750812"/>
    <w:rsid w:val="00780793"/>
    <w:rsid w:val="00782E6E"/>
    <w:rsid w:val="00783BB7"/>
    <w:rsid w:val="007855FE"/>
    <w:rsid w:val="0079349E"/>
    <w:rsid w:val="00796B73"/>
    <w:rsid w:val="007A450B"/>
    <w:rsid w:val="007B06F9"/>
    <w:rsid w:val="007B64EF"/>
    <w:rsid w:val="007C27AB"/>
    <w:rsid w:val="007D5D8C"/>
    <w:rsid w:val="007E15BA"/>
    <w:rsid w:val="007E2A39"/>
    <w:rsid w:val="007E2EE1"/>
    <w:rsid w:val="007F5CB4"/>
    <w:rsid w:val="00807907"/>
    <w:rsid w:val="00817A13"/>
    <w:rsid w:val="00830997"/>
    <w:rsid w:val="00836709"/>
    <w:rsid w:val="00882E67"/>
    <w:rsid w:val="00893564"/>
    <w:rsid w:val="008A26C7"/>
    <w:rsid w:val="008B0A03"/>
    <w:rsid w:val="008C017E"/>
    <w:rsid w:val="008C71ED"/>
    <w:rsid w:val="008D0113"/>
    <w:rsid w:val="008F3BE8"/>
    <w:rsid w:val="008F53FF"/>
    <w:rsid w:val="009029A9"/>
    <w:rsid w:val="009440F5"/>
    <w:rsid w:val="0095497A"/>
    <w:rsid w:val="00965D71"/>
    <w:rsid w:val="00977FC3"/>
    <w:rsid w:val="00980DA9"/>
    <w:rsid w:val="00983084"/>
    <w:rsid w:val="00994909"/>
    <w:rsid w:val="009B37E4"/>
    <w:rsid w:val="009C2AB2"/>
    <w:rsid w:val="009C3CEE"/>
    <w:rsid w:val="009C3F3F"/>
    <w:rsid w:val="009C4F8E"/>
    <w:rsid w:val="009D18C1"/>
    <w:rsid w:val="009D27E2"/>
    <w:rsid w:val="009F068A"/>
    <w:rsid w:val="00A0032B"/>
    <w:rsid w:val="00A025D5"/>
    <w:rsid w:val="00A117A9"/>
    <w:rsid w:val="00A169EF"/>
    <w:rsid w:val="00A271B7"/>
    <w:rsid w:val="00A326E4"/>
    <w:rsid w:val="00A34D6E"/>
    <w:rsid w:val="00A4015A"/>
    <w:rsid w:val="00A47FCD"/>
    <w:rsid w:val="00A75C19"/>
    <w:rsid w:val="00A9099F"/>
    <w:rsid w:val="00AC1E5A"/>
    <w:rsid w:val="00AC3B28"/>
    <w:rsid w:val="00AD1ED5"/>
    <w:rsid w:val="00AE4784"/>
    <w:rsid w:val="00AF4C75"/>
    <w:rsid w:val="00B12D64"/>
    <w:rsid w:val="00B7097B"/>
    <w:rsid w:val="00B80AC0"/>
    <w:rsid w:val="00B869FF"/>
    <w:rsid w:val="00B9364B"/>
    <w:rsid w:val="00BA251E"/>
    <w:rsid w:val="00BC42E5"/>
    <w:rsid w:val="00BC5E56"/>
    <w:rsid w:val="00BD6644"/>
    <w:rsid w:val="00C024DE"/>
    <w:rsid w:val="00C04860"/>
    <w:rsid w:val="00C07F35"/>
    <w:rsid w:val="00C228AE"/>
    <w:rsid w:val="00C23247"/>
    <w:rsid w:val="00C60A60"/>
    <w:rsid w:val="00C770A5"/>
    <w:rsid w:val="00C852EC"/>
    <w:rsid w:val="00C95076"/>
    <w:rsid w:val="00C97FBE"/>
    <w:rsid w:val="00CA481A"/>
    <w:rsid w:val="00CB732C"/>
    <w:rsid w:val="00CD2B81"/>
    <w:rsid w:val="00CE4820"/>
    <w:rsid w:val="00CF2AAA"/>
    <w:rsid w:val="00D0614C"/>
    <w:rsid w:val="00D12503"/>
    <w:rsid w:val="00D21796"/>
    <w:rsid w:val="00D23605"/>
    <w:rsid w:val="00D27368"/>
    <w:rsid w:val="00D31D71"/>
    <w:rsid w:val="00D33DB6"/>
    <w:rsid w:val="00D656D0"/>
    <w:rsid w:val="00D66A9C"/>
    <w:rsid w:val="00D72A4C"/>
    <w:rsid w:val="00D77C4F"/>
    <w:rsid w:val="00D91A96"/>
    <w:rsid w:val="00DA5BAF"/>
    <w:rsid w:val="00DB1377"/>
    <w:rsid w:val="00DB7A03"/>
    <w:rsid w:val="00DC39F3"/>
    <w:rsid w:val="00DC5D2E"/>
    <w:rsid w:val="00DD7159"/>
    <w:rsid w:val="00DE513C"/>
    <w:rsid w:val="00DF02FC"/>
    <w:rsid w:val="00DF65D1"/>
    <w:rsid w:val="00E1230D"/>
    <w:rsid w:val="00E3045A"/>
    <w:rsid w:val="00E41F88"/>
    <w:rsid w:val="00E4515F"/>
    <w:rsid w:val="00E505D7"/>
    <w:rsid w:val="00E62831"/>
    <w:rsid w:val="00E6397E"/>
    <w:rsid w:val="00E76666"/>
    <w:rsid w:val="00EB450A"/>
    <w:rsid w:val="00EC28EE"/>
    <w:rsid w:val="00EC43BB"/>
    <w:rsid w:val="00ED4B3C"/>
    <w:rsid w:val="00EF1D08"/>
    <w:rsid w:val="00EF64D6"/>
    <w:rsid w:val="00F00987"/>
    <w:rsid w:val="00F027F9"/>
    <w:rsid w:val="00F22AEF"/>
    <w:rsid w:val="00F42C29"/>
    <w:rsid w:val="00F47164"/>
    <w:rsid w:val="00F652C7"/>
    <w:rsid w:val="00F76965"/>
    <w:rsid w:val="00F842F8"/>
    <w:rsid w:val="00F93B0A"/>
    <w:rsid w:val="00FD1879"/>
    <w:rsid w:val="00FD7CDC"/>
    <w:rsid w:val="00FE7FE3"/>
    <w:rsid w:val="00FF3B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F389B"/>
  <w15:chartTrackingRefBased/>
  <w15:docId w15:val="{5D145224-B9AC-6440-87E8-86C49603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3045A"/>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1B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1BEA"/>
  </w:style>
  <w:style w:type="paragraph" w:styleId="Fuzeile">
    <w:name w:val="footer"/>
    <w:basedOn w:val="Standard"/>
    <w:link w:val="FuzeileZchn"/>
    <w:uiPriority w:val="99"/>
    <w:unhideWhenUsed/>
    <w:rsid w:val="00001B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1BEA"/>
  </w:style>
  <w:style w:type="paragraph" w:styleId="Sprechblasentext">
    <w:name w:val="Balloon Text"/>
    <w:basedOn w:val="Standard"/>
    <w:link w:val="SprechblasentextZchn"/>
    <w:uiPriority w:val="99"/>
    <w:semiHidden/>
    <w:unhideWhenUsed/>
    <w:rsid w:val="00001BE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01BEA"/>
    <w:rPr>
      <w:rFonts w:ascii="Tahoma" w:hAnsi="Tahoma" w:cs="Tahoma"/>
      <w:sz w:val="16"/>
      <w:szCs w:val="16"/>
    </w:rPr>
  </w:style>
  <w:style w:type="character" w:styleId="Kommentarzeichen">
    <w:name w:val="annotation reference"/>
    <w:uiPriority w:val="99"/>
    <w:semiHidden/>
    <w:unhideWhenUsed/>
    <w:rsid w:val="004A65A1"/>
    <w:rPr>
      <w:sz w:val="16"/>
      <w:szCs w:val="16"/>
    </w:rPr>
  </w:style>
  <w:style w:type="paragraph" w:styleId="Kommentartext">
    <w:name w:val="annotation text"/>
    <w:basedOn w:val="Standard"/>
    <w:link w:val="KommentartextZchn"/>
    <w:uiPriority w:val="99"/>
    <w:semiHidden/>
    <w:unhideWhenUsed/>
    <w:rsid w:val="004A65A1"/>
    <w:pPr>
      <w:spacing w:line="240" w:lineRule="auto"/>
    </w:pPr>
    <w:rPr>
      <w:sz w:val="20"/>
      <w:szCs w:val="20"/>
    </w:rPr>
  </w:style>
  <w:style w:type="character" w:customStyle="1" w:styleId="KommentartextZchn">
    <w:name w:val="Kommentartext Zchn"/>
    <w:link w:val="Kommentartext"/>
    <w:uiPriority w:val="99"/>
    <w:semiHidden/>
    <w:rsid w:val="004A65A1"/>
    <w:rPr>
      <w:sz w:val="20"/>
      <w:szCs w:val="20"/>
    </w:rPr>
  </w:style>
  <w:style w:type="paragraph" w:styleId="Kommentarthema">
    <w:name w:val="annotation subject"/>
    <w:basedOn w:val="Kommentartext"/>
    <w:next w:val="Kommentartext"/>
    <w:link w:val="KommentarthemaZchn"/>
    <w:uiPriority w:val="99"/>
    <w:semiHidden/>
    <w:unhideWhenUsed/>
    <w:rsid w:val="004A65A1"/>
    <w:rPr>
      <w:b/>
      <w:bCs/>
    </w:rPr>
  </w:style>
  <w:style w:type="character" w:customStyle="1" w:styleId="KommentarthemaZchn">
    <w:name w:val="Kommentarthema Zchn"/>
    <w:link w:val="Kommentarthema"/>
    <w:uiPriority w:val="99"/>
    <w:semiHidden/>
    <w:rsid w:val="004A65A1"/>
    <w:rPr>
      <w:b/>
      <w:bCs/>
      <w:sz w:val="20"/>
      <w:szCs w:val="20"/>
    </w:rPr>
  </w:style>
  <w:style w:type="table" w:styleId="Tabellenraster">
    <w:name w:val="Table Grid"/>
    <w:basedOn w:val="NormaleTabelle"/>
    <w:uiPriority w:val="59"/>
    <w:rsid w:val="00FD1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rbigeListe-Akzent11">
    <w:name w:val="Farbige Liste - Akzent 11"/>
    <w:basedOn w:val="Standard"/>
    <w:uiPriority w:val="34"/>
    <w:qFormat/>
    <w:rsid w:val="00FD1879"/>
    <w:pPr>
      <w:ind w:left="720"/>
      <w:contextualSpacing/>
    </w:pPr>
  </w:style>
  <w:style w:type="character" w:customStyle="1" w:styleId="EinfacheTabelle31">
    <w:name w:val="Einfache Tabelle 31"/>
    <w:uiPriority w:val="19"/>
    <w:qFormat/>
    <w:rsid w:val="0030199C"/>
    <w:rPr>
      <w:i/>
      <w:iCs/>
      <w:color w:val="808080"/>
    </w:rPr>
  </w:style>
  <w:style w:type="paragraph" w:styleId="Funotentext">
    <w:name w:val="footnote text"/>
    <w:basedOn w:val="Standard"/>
    <w:link w:val="FunotentextZchn"/>
    <w:uiPriority w:val="99"/>
    <w:semiHidden/>
    <w:unhideWhenUsed/>
    <w:rsid w:val="000D1C50"/>
    <w:pPr>
      <w:spacing w:after="0" w:line="240" w:lineRule="auto"/>
    </w:pPr>
    <w:rPr>
      <w:sz w:val="20"/>
      <w:szCs w:val="20"/>
    </w:rPr>
  </w:style>
  <w:style w:type="character" w:customStyle="1" w:styleId="FunotentextZchn">
    <w:name w:val="Fußnotentext Zchn"/>
    <w:link w:val="Funotentext"/>
    <w:uiPriority w:val="99"/>
    <w:semiHidden/>
    <w:rsid w:val="000D1C50"/>
    <w:rPr>
      <w:sz w:val="20"/>
      <w:szCs w:val="20"/>
    </w:rPr>
  </w:style>
  <w:style w:type="character" w:styleId="Funotenzeichen">
    <w:name w:val="footnote reference"/>
    <w:uiPriority w:val="99"/>
    <w:semiHidden/>
    <w:unhideWhenUsed/>
    <w:rsid w:val="000D1C50"/>
    <w:rPr>
      <w:vertAlign w:val="superscript"/>
    </w:rPr>
  </w:style>
  <w:style w:type="paragraph" w:styleId="Fu-Endnotenberschrift">
    <w:name w:val="Note Heading"/>
    <w:basedOn w:val="Standard"/>
    <w:next w:val="Standard"/>
    <w:link w:val="Fu-EndnotenberschriftZchn"/>
    <w:uiPriority w:val="99"/>
    <w:semiHidden/>
    <w:unhideWhenUsed/>
    <w:rsid w:val="009029A9"/>
    <w:pPr>
      <w:spacing w:after="0" w:line="240" w:lineRule="auto"/>
    </w:pPr>
  </w:style>
  <w:style w:type="character" w:customStyle="1" w:styleId="Fu-EndnotenberschriftZchn">
    <w:name w:val="Fuß/-Endnotenüberschrift Zchn"/>
    <w:basedOn w:val="Absatz-Standardschriftart"/>
    <w:link w:val="Fu-Endnotenberschrift"/>
    <w:uiPriority w:val="99"/>
    <w:semiHidden/>
    <w:rsid w:val="009029A9"/>
  </w:style>
  <w:style w:type="character" w:styleId="Hyperlink">
    <w:name w:val="Hyperlink"/>
    <w:uiPriority w:val="99"/>
    <w:unhideWhenUsed/>
    <w:rsid w:val="009B37E4"/>
    <w:rPr>
      <w:color w:val="0000FF"/>
      <w:u w:val="single"/>
    </w:rPr>
  </w:style>
  <w:style w:type="character" w:styleId="Seitenzahl">
    <w:name w:val="page number"/>
    <w:uiPriority w:val="99"/>
    <w:semiHidden/>
    <w:unhideWhenUsed/>
    <w:rsid w:val="00696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56518">
      <w:bodyDiv w:val="1"/>
      <w:marLeft w:val="0"/>
      <w:marRight w:val="0"/>
      <w:marTop w:val="0"/>
      <w:marBottom w:val="0"/>
      <w:divBdr>
        <w:top w:val="none" w:sz="0" w:space="0" w:color="auto"/>
        <w:left w:val="none" w:sz="0" w:space="0" w:color="auto"/>
        <w:bottom w:val="none" w:sz="0" w:space="0" w:color="auto"/>
        <w:right w:val="none" w:sz="0" w:space="0" w:color="auto"/>
      </w:divBdr>
    </w:div>
    <w:div w:id="662007223">
      <w:bodyDiv w:val="1"/>
      <w:marLeft w:val="0"/>
      <w:marRight w:val="0"/>
      <w:marTop w:val="0"/>
      <w:marBottom w:val="0"/>
      <w:divBdr>
        <w:top w:val="none" w:sz="0" w:space="0" w:color="auto"/>
        <w:left w:val="none" w:sz="0" w:space="0" w:color="auto"/>
        <w:bottom w:val="none" w:sz="0" w:space="0" w:color="auto"/>
        <w:right w:val="none" w:sz="0" w:space="0" w:color="auto"/>
      </w:divBdr>
      <w:divsChild>
        <w:div w:id="425198109">
          <w:marLeft w:val="0"/>
          <w:marRight w:val="0"/>
          <w:marTop w:val="0"/>
          <w:marBottom w:val="0"/>
          <w:divBdr>
            <w:top w:val="none" w:sz="0" w:space="0" w:color="auto"/>
            <w:left w:val="none" w:sz="0" w:space="0" w:color="auto"/>
            <w:bottom w:val="none" w:sz="0" w:space="0" w:color="auto"/>
            <w:right w:val="none" w:sz="0" w:space="0" w:color="auto"/>
          </w:divBdr>
        </w:div>
        <w:div w:id="516623143">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1152675765">
          <w:marLeft w:val="0"/>
          <w:marRight w:val="0"/>
          <w:marTop w:val="0"/>
          <w:marBottom w:val="0"/>
          <w:divBdr>
            <w:top w:val="none" w:sz="0" w:space="0" w:color="auto"/>
            <w:left w:val="none" w:sz="0" w:space="0" w:color="auto"/>
            <w:bottom w:val="none" w:sz="0" w:space="0" w:color="auto"/>
            <w:right w:val="none" w:sz="0" w:space="0" w:color="auto"/>
          </w:divBdr>
        </w:div>
        <w:div w:id="1412001271">
          <w:marLeft w:val="0"/>
          <w:marRight w:val="0"/>
          <w:marTop w:val="0"/>
          <w:marBottom w:val="0"/>
          <w:divBdr>
            <w:top w:val="none" w:sz="0" w:space="0" w:color="auto"/>
            <w:left w:val="none" w:sz="0" w:space="0" w:color="auto"/>
            <w:bottom w:val="none" w:sz="0" w:space="0" w:color="auto"/>
            <w:right w:val="none" w:sz="0" w:space="0" w:color="auto"/>
          </w:divBdr>
        </w:div>
      </w:divsChild>
    </w:div>
    <w:div w:id="935136002">
      <w:bodyDiv w:val="1"/>
      <w:marLeft w:val="0"/>
      <w:marRight w:val="0"/>
      <w:marTop w:val="0"/>
      <w:marBottom w:val="0"/>
      <w:divBdr>
        <w:top w:val="none" w:sz="0" w:space="0" w:color="auto"/>
        <w:left w:val="none" w:sz="0" w:space="0" w:color="auto"/>
        <w:bottom w:val="none" w:sz="0" w:space="0" w:color="auto"/>
        <w:right w:val="none" w:sz="0" w:space="0" w:color="auto"/>
      </w:divBdr>
    </w:div>
    <w:div w:id="1876846542">
      <w:bodyDiv w:val="1"/>
      <w:marLeft w:val="0"/>
      <w:marRight w:val="0"/>
      <w:marTop w:val="0"/>
      <w:marBottom w:val="0"/>
      <w:divBdr>
        <w:top w:val="none" w:sz="0" w:space="0" w:color="auto"/>
        <w:left w:val="none" w:sz="0" w:space="0" w:color="auto"/>
        <w:bottom w:val="none" w:sz="0" w:space="0" w:color="auto"/>
        <w:right w:val="none" w:sz="0" w:space="0" w:color="auto"/>
      </w:divBdr>
      <w:divsChild>
        <w:div w:id="235434698">
          <w:marLeft w:val="0"/>
          <w:marRight w:val="0"/>
          <w:marTop w:val="0"/>
          <w:marBottom w:val="0"/>
          <w:divBdr>
            <w:top w:val="none" w:sz="0" w:space="0" w:color="auto"/>
            <w:left w:val="none" w:sz="0" w:space="0" w:color="auto"/>
            <w:bottom w:val="none" w:sz="0" w:space="0" w:color="auto"/>
            <w:right w:val="none" w:sz="0" w:space="0" w:color="auto"/>
          </w:divBdr>
        </w:div>
        <w:div w:id="457145665">
          <w:marLeft w:val="0"/>
          <w:marRight w:val="0"/>
          <w:marTop w:val="0"/>
          <w:marBottom w:val="0"/>
          <w:divBdr>
            <w:top w:val="none" w:sz="0" w:space="0" w:color="auto"/>
            <w:left w:val="none" w:sz="0" w:space="0" w:color="auto"/>
            <w:bottom w:val="none" w:sz="0" w:space="0" w:color="auto"/>
            <w:right w:val="none" w:sz="0" w:space="0" w:color="auto"/>
          </w:divBdr>
        </w:div>
        <w:div w:id="1354769064">
          <w:marLeft w:val="0"/>
          <w:marRight w:val="0"/>
          <w:marTop w:val="0"/>
          <w:marBottom w:val="0"/>
          <w:divBdr>
            <w:top w:val="none" w:sz="0" w:space="0" w:color="auto"/>
            <w:left w:val="none" w:sz="0" w:space="0" w:color="auto"/>
            <w:bottom w:val="none" w:sz="0" w:space="0" w:color="auto"/>
            <w:right w:val="none" w:sz="0" w:space="0" w:color="auto"/>
          </w:divBdr>
        </w:div>
        <w:div w:id="1592465208">
          <w:marLeft w:val="0"/>
          <w:marRight w:val="0"/>
          <w:marTop w:val="0"/>
          <w:marBottom w:val="0"/>
          <w:divBdr>
            <w:top w:val="none" w:sz="0" w:space="0" w:color="auto"/>
            <w:left w:val="none" w:sz="0" w:space="0" w:color="auto"/>
            <w:bottom w:val="none" w:sz="0" w:space="0" w:color="auto"/>
            <w:right w:val="none" w:sz="0" w:space="0" w:color="auto"/>
          </w:divBdr>
        </w:div>
        <w:div w:id="1798640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B9E7A-02AE-9F42-B228-721E01D5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5935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Kreisverwaltung Recklinghausen</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Hiegemann</dc:creator>
  <cp:keywords/>
  <cp:lastModifiedBy>cramermalaika@gmail.com</cp:lastModifiedBy>
  <cp:revision>2</cp:revision>
  <cp:lastPrinted>2016-03-07T07:43:00Z</cp:lastPrinted>
  <dcterms:created xsi:type="dcterms:W3CDTF">2020-07-04T11:36:00Z</dcterms:created>
  <dcterms:modified xsi:type="dcterms:W3CDTF">2020-07-04T11:36:00Z</dcterms:modified>
</cp:coreProperties>
</file>